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Fonts w:ascii="Georgia" w:cs="Georgia" w:eastAsia="Georgia" w:hAnsi="Georgia"/>
          <w:sz w:val="76"/>
          <w:szCs w:val="76"/>
          <w:rtl w:val="0"/>
        </w:rPr>
        <w:t xml:space="preserve">Mgr. RADKA </w:t>
      </w:r>
      <w:r w:rsidDel="00000000" w:rsidR="00000000" w:rsidRPr="00000000">
        <w:rPr>
          <w:rFonts w:ascii="Georgia" w:cs="Georgia" w:eastAsia="Georgia" w:hAnsi="Georgia"/>
          <w:color w:val="8064a2"/>
          <w:sz w:val="76"/>
          <w:szCs w:val="76"/>
          <w:rtl w:val="0"/>
        </w:rPr>
        <w:t xml:space="preserve">DONNÉ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150"/>
        <w:gridCol w:w="450"/>
        <w:gridCol w:w="3090"/>
        <w:gridCol w:w="4050"/>
        <w:tblGridChange w:id="0">
          <w:tblGrid>
            <w:gridCol w:w="3150"/>
            <w:gridCol w:w="450"/>
            <w:gridCol w:w="3090"/>
            <w:gridCol w:w="405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Georgia" w:cs="Georgia" w:eastAsia="Georgia" w:hAnsi="Georgia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8"/>
                <w:szCs w:val="28"/>
                <w:rtl w:val="0"/>
              </w:rPr>
              <w:t xml:space="preserve"> I N F O R M A C E </w:t>
            </w:r>
          </w:p>
          <w:p w:rsidR="00000000" w:rsidDel="00000000" w:rsidP="00000000" w:rsidRDefault="00000000" w:rsidRPr="00000000" w14:paraId="00000004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644000" cy="1800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500" y="3780000"/>
                                <a:ext cx="260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44000" cy="180000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4000" cy="180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Georgia" w:cs="Georgia" w:eastAsia="Georgia" w:hAnsi="Georgia"/>
                <w:b w:val="1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8064a2"/>
                <w:sz w:val="28"/>
                <w:szCs w:val="28"/>
                <w:rtl w:val="0"/>
              </w:rPr>
              <w:t xml:space="preserve">PRACOVNÍ ZKUŠENOSTI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4262400" cy="61721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65750" y="3780000"/>
                                <a:ext cx="43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262400" cy="61721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2400" cy="6172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+420 724 364 433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donne.r@seznam.cz 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Hustopeče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Narozena 1965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600" w:lineRule="auto"/>
              <w:rPr>
                <w:rFonts w:ascii="Georgia" w:cs="Georgia" w:eastAsia="Georgia" w:hAnsi="Georgi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Georgia" w:cs="Georgia" w:eastAsia="Georgia" w:hAnsi="Georgia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8"/>
                <w:szCs w:val="28"/>
                <w:rtl w:val="0"/>
              </w:rPr>
              <w:t xml:space="preserve">J A Z Y K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602000" cy="18045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500" y="3780000"/>
                                <a:ext cx="260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02000" cy="18045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2000" cy="1804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600" w:lineRule="auto"/>
              <w:rPr>
                <w:rFonts w:ascii="Georgia" w:cs="Georgia" w:eastAsia="Georgia" w:hAnsi="Georgia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ANGLICKÝ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60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RUSKÝ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600" w:lineRule="auto"/>
              <w:rPr>
                <w:rFonts w:ascii="Georgia" w:cs="Georgia" w:eastAsia="Georgia" w:hAnsi="Georgi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Georgia" w:cs="Georgia" w:eastAsia="Georgia" w:hAnsi="Georgia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8"/>
                <w:szCs w:val="28"/>
                <w:rtl w:val="0"/>
              </w:rPr>
              <w:t xml:space="preserve">PC  DOVEDNOSTI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652400" cy="183209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500" y="3780000"/>
                                <a:ext cx="260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52400" cy="183209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2400" cy="1832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100" w:line="273.6" w:lineRule="auto"/>
              <w:jc w:val="both"/>
              <w:rPr>
                <w:rFonts w:ascii="Georgia" w:cs="Georgia" w:eastAsia="Georgia" w:hAnsi="Georgia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100" w:line="36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GOOGLE APPS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100" w:line="36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DOCS, SLIDES, SHEETS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100" w:line="36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MICROSOFT APPS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100" w:line="36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WORD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100" w:line="36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POWERPOINT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100" w:line="48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EXCEL</w:t>
              <w:br w:type="textWrapping"/>
              <w:t xml:space="preserve">MS TEAMS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100" w:line="48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100" w:line="480" w:lineRule="auto"/>
              <w:jc w:val="both"/>
              <w:rPr>
                <w:rFonts w:ascii="Georgia" w:cs="Georgia" w:eastAsia="Georgia" w:hAnsi="Georgi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eorgia" w:cs="Georgia" w:eastAsia="Georgia" w:hAnsi="Georgia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eorgia" w:cs="Georgia" w:eastAsia="Georgia" w:hAnsi="Georgia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8"/>
                <w:szCs w:val="28"/>
                <w:rtl w:val="0"/>
              </w:rPr>
              <w:t xml:space="preserve">K U R Z Y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1659600" cy="204367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45500" y="3780000"/>
                                <a:ext cx="260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659600" cy="204367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9600" cy="20436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2024 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Seminář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ICT pro výuku, Microsoft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2023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Seminář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ICT pro výuku anglického jazyka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AKTIVNĚ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Studium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Evropská vzdělávací agentura -Anglický jazyk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2021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Seminář Děti s PAS,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Autistická škola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Štolcova Brno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26. 8. 2021 - dosud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1.8. 2018 - 24.8. 2021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21. 12. 2016 - 16. 11. 2021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27. 8. 2014 - 31. 7. 2018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Srpen 2014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26. 5. 2013 - 31. 10. 2012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2. 2010 - 2014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10. 2011 - 31. 10. 2012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 11.. 2011 - 31. 1. 2012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 8. 1993 - 2. 10. 2011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11. 1. 1992 - 1. 8. 1993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 8. 1992 - 31. 10. 1992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Učitelka ZŠ a PŠ Hustopeče </w:t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Šafaříková 24, Hustopeče 69301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Školní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logopedka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Učitelka na 1. stupni ZŠ Zaječí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Školní 402, Zaječí 691 05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Speciální pedagožka, pedagogické intervence, angličtina Clil,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Kroužky AJ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Raná péče Čtyřlístek</w:t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Zakladatelka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, ředitelka, dobrovolná poradkyně</w:t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Učitelka na 1. stupni ZŠ Holasice, Palackého 24, Holasice 66 441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Asistentka Vesna o.p.s. Brno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Lektorka Místní sociální služby Brno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Účetnictví, daňová evidence a daňová přiznání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Vinný dům Hustopeče, Vinotéka Hustopeče, 1. Jihomoravská stavební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Výukové CD pro ZŠ pro děti s dyslexií pro PC a interaktivní tabule Čtení jako hraní - autorská tvorba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Administrátorka programového rámce - projektová podpora, Mezinárodní projekty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Masarykova univerzita Brno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Učitelka, ZŠ a PŠ Hustopeče, Šafaříkova 24,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Hustopeče 693 01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Koordinátorka mezinárodních projektů spolupráce škol Comenius,  ETwinning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Školní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logopedka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Učitelka, ZvŠ Břeclav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Referentka prodeje, Agrotec a.s. Hustopeče</w:t>
            </w:r>
          </w:p>
        </w:tc>
      </w:tr>
      <w:tr>
        <w:trPr>
          <w:cantSplit w:val="0"/>
          <w:trHeight w:val="4447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Seminář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Rozvoj čtenářské gramotnosti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2020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Gradované úlohy </w:t>
              <w:br w:type="textWrapping"/>
              <w:t xml:space="preserve">v matematice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Formativní hodnocení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Vzděláváme děti s PAS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Žák s ADHD ve školním prostředí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2019   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NIDV Brno, Anglický jazyk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14.- 20. 3. 2013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Projekt Let's build Europe together, Lucemburk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Georgia" w:cs="Georgia" w:eastAsia="Georgia" w:hAnsi="Georgia"/>
                <w:b w:val="1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Georgia" w:cs="Georgia" w:eastAsia="Georgia" w:hAnsi="Georgia"/>
                <w:b w:val="1"/>
                <w:color w:val="8064a2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8064a2"/>
                <w:sz w:val="28"/>
                <w:szCs w:val="28"/>
                <w:rtl w:val="0"/>
              </w:rPr>
              <w:t xml:space="preserve">V Z D Ě L Á N Í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8064a2"/>
                <w:sz w:val="24"/>
                <w:szCs w:val="24"/>
              </w:rPr>
              <mc:AlternateContent>
                <mc:Choice Requires="wpg">
                  <w:drawing>
                    <wp:inline distB="114300" distT="114300" distL="114300" distR="114300">
                      <wp:extent cx="4186238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165750" y="3780000"/>
                                <a:ext cx="43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8064A2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186238" cy="190500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86238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1995 - 1996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Pedagogiská fakulta UK Praha</w:t>
            </w:r>
          </w:p>
          <w:p w:rsidR="00000000" w:rsidDel="00000000" w:rsidP="00000000" w:rsidRDefault="00000000" w:rsidRPr="00000000" w14:paraId="000000A0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Rozdílové studium učitelství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na speciálních školách 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a pro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vychovatele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VŠ obor speciální pedagogika 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</w:t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  Učitelství (logopedie a SPU)</w:t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1984 - 1989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Pedagogická fakulta UP Olomouc </w:t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                    Obor vychovatelství </w:t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                    osob vyžadujících zvláštní péči</w:t>
            </w:r>
          </w:p>
          <w:p w:rsidR="00000000" w:rsidDel="00000000" w:rsidP="00000000" w:rsidRDefault="00000000" w:rsidRPr="00000000" w14:paraId="000000A9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(psychopedie, etopedie)</w:t>
            </w:r>
          </w:p>
          <w:p w:rsidR="00000000" w:rsidDel="00000000" w:rsidP="00000000" w:rsidRDefault="00000000" w:rsidRPr="00000000" w14:paraId="000000AA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1980 - 1984                        Gymnázium Hustopeče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100" w:line="273.6" w:lineRule="auto"/>
              <w:jc w:val="both"/>
              <w:rPr>
                <w:rFonts w:ascii="Georgia" w:cs="Georgia" w:eastAsia="Georgia" w:hAnsi="Georgia"/>
                <w:b w:val="1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800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3030"/>
              <w:gridCol w:w="570"/>
              <w:gridCol w:w="255"/>
              <w:gridCol w:w="2880"/>
              <w:gridCol w:w="4065"/>
              <w:tblGridChange w:id="0">
                <w:tblGrid>
                  <w:gridCol w:w="3030"/>
                  <w:gridCol w:w="570"/>
                  <w:gridCol w:w="255"/>
                  <w:gridCol w:w="2880"/>
                  <w:gridCol w:w="40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4">
                  <w:pPr>
                    <w:widowControl w:val="0"/>
                    <w:spacing w:line="240" w:lineRule="auto"/>
                    <w:jc w:val="both"/>
                    <w:rPr>
                      <w:rFonts w:ascii="Georgia" w:cs="Georgia" w:eastAsia="Georgia" w:hAnsi="Georg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B5">
                  <w:pPr>
                    <w:widowControl w:val="0"/>
                    <w:rPr>
                      <w:rFonts w:ascii="Georgia" w:cs="Georgia" w:eastAsia="Georgia" w:hAnsi="Georgia"/>
                      <w:color w:val="8064a2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7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Georgia" w:cs="Georgia" w:eastAsia="Georgia" w:hAnsi="Georgia"/>
                <w:color w:val="8064a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  <w:font w:name="Times New Roman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ind w:left="720" w:hanging="36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jc w:val="both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